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AD" w:rsidRDefault="00A97BBA" w:rsidP="007B7AAD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-635</wp:posOffset>
                </wp:positionV>
                <wp:extent cx="8026400" cy="720090"/>
                <wp:effectExtent l="0" t="19050" r="31750" b="228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6400" cy="720090"/>
                          <a:chOff x="0" y="0"/>
                          <a:chExt cx="7646531" cy="720333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3891"/>
                            <a:ext cx="5124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112858" y="0"/>
                            <a:ext cx="727278" cy="7203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828814" y="715956"/>
                            <a:ext cx="181771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6006A4" id="Group 6" o:spid="_x0000_s1026" style="position:absolute;margin-left:-1in;margin-top:-.05pt;width:632pt;height:56.7pt;z-index:251664896;mso-width-relative:margin" coordsize="76465,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">
                <v:line id="Straight Connector 2" o:spid="_x0000_s1027" style="position:absolute;visibility:visible;mso-wrap-style:square" from="0,38" to="5124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" strokecolor="#006c5b" strokeweight="2.25pt"/>
                <v:line id="Straight Connector 3" o:spid="_x0000_s1028" style="position:absolute;visibility:visible;mso-wrap-style:square" from="51128,0" to="58401,7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" strokecolor="#006c5b" strokeweight="2.25pt"/>
                <v:line id="Straight Connector 4" o:spid="_x0000_s1029" style="position:absolute;visibility:visible;mso-wrap-style:square" from="58288,7159" to="76465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" strokecolor="#006c5b" strokeweight="2.25pt"/>
              </v:group>
            </w:pict>
          </mc:Fallback>
        </mc:AlternateContent>
      </w:r>
    </w:p>
    <w:p w:rsidR="00A50E47" w:rsidRDefault="00A50E47" w:rsidP="007B7AAD">
      <w:pPr>
        <w:spacing w:after="0" w:line="240" w:lineRule="auto"/>
        <w:rPr>
          <w:b/>
          <w:u w:val="single"/>
        </w:rPr>
      </w:pPr>
    </w:p>
    <w:p w:rsidR="00166D7C" w:rsidRPr="00271E8B" w:rsidRDefault="00166D7C" w:rsidP="00271E8B">
      <w:pPr>
        <w:spacing w:after="0"/>
        <w:rPr>
          <w:b/>
          <w:u w:val="single"/>
        </w:rPr>
      </w:pPr>
      <w:r w:rsidRPr="00271E8B">
        <w:rPr>
          <w:b/>
          <w:u w:val="single"/>
        </w:rPr>
        <w:t xml:space="preserve">Introduction:- </w:t>
      </w:r>
    </w:p>
    <w:p w:rsidR="00271E8B" w:rsidRDefault="002F6DD5" w:rsidP="002F6DD5">
      <w:pPr>
        <w:spacing w:after="0" w:line="240" w:lineRule="auto"/>
      </w:pPr>
      <w:r>
        <w:t xml:space="preserve">This role aims to </w:t>
      </w:r>
      <w:r w:rsidR="00166D7C">
        <w:t xml:space="preserve">increase professional competence amongst Members of </w:t>
      </w:r>
      <w:r w:rsidR="005A40CD">
        <w:t>T</w:t>
      </w:r>
      <w:r w:rsidR="00166D7C">
        <w:t>he</w:t>
      </w:r>
      <w:r w:rsidR="005A40CD">
        <w:t xml:space="preserve"> Welding</w:t>
      </w:r>
      <w:r w:rsidR="00166D7C">
        <w:t xml:space="preserve"> Institute through support and registration of applications</w:t>
      </w:r>
      <w:r>
        <w:t xml:space="preserve"> for membership. Interviewers normally conduct </w:t>
      </w:r>
      <w:r w:rsidR="005A40CD">
        <w:t>2</w:t>
      </w:r>
      <w:r>
        <w:t xml:space="preserve"> Professional Review (PRI) interviews </w:t>
      </w:r>
      <w:r w:rsidR="005A40CD">
        <w:t>each</w:t>
      </w:r>
      <w:r w:rsidR="00166D7C">
        <w:t xml:space="preserve"> year</w:t>
      </w:r>
      <w:r w:rsidR="005A40CD">
        <w:t>.</w:t>
      </w:r>
      <w:r>
        <w:t xml:space="preserve"> Interview outcomes are reported to the Membership, Education and Registration Committee (MERC) which meets 4 times </w:t>
      </w:r>
      <w:r w:rsidR="005A40CD">
        <w:t>each</w:t>
      </w:r>
      <w:r>
        <w:t xml:space="preserve"> year. Interviews are normally held at TWI premises in the UK (Cambridge, Middlesbrough, </w:t>
      </w:r>
      <w:r w:rsidR="005A40CD">
        <w:t>Aberdeen</w:t>
      </w:r>
      <w:r>
        <w:t xml:space="preserve"> and Sheffield) Interviews are undertaken by two Professional Members, one of whom will chair the interview.</w:t>
      </w:r>
    </w:p>
    <w:p w:rsidR="002F6DD5" w:rsidRDefault="002F6DD5" w:rsidP="00271E8B">
      <w:pPr>
        <w:spacing w:after="0"/>
      </w:pPr>
    </w:p>
    <w:p w:rsidR="00271E8B" w:rsidRPr="00271E8B" w:rsidRDefault="00271E8B" w:rsidP="00271E8B">
      <w:pPr>
        <w:spacing w:after="0"/>
        <w:rPr>
          <w:b/>
          <w:u w:val="single"/>
        </w:rPr>
      </w:pPr>
      <w:r w:rsidRPr="00271E8B">
        <w:rPr>
          <w:b/>
          <w:u w:val="single"/>
        </w:rPr>
        <w:t>Benefits:-</w:t>
      </w:r>
    </w:p>
    <w:p w:rsidR="00271E8B" w:rsidRDefault="00271E8B" w:rsidP="002F6DD5">
      <w:pPr>
        <w:spacing w:after="0" w:line="240" w:lineRule="auto"/>
      </w:pPr>
      <w:r>
        <w:t>Continuing professional development including project and personal management skills</w:t>
      </w:r>
    </w:p>
    <w:p w:rsidR="00271E8B" w:rsidRDefault="00271E8B" w:rsidP="002F6DD5">
      <w:pPr>
        <w:spacing w:after="0" w:line="240" w:lineRule="auto"/>
      </w:pPr>
      <w:r>
        <w:t>Acquisition of transferable skills.</w:t>
      </w:r>
    </w:p>
    <w:p w:rsidR="00271E8B" w:rsidRDefault="00271E8B" w:rsidP="002F6DD5">
      <w:pPr>
        <w:spacing w:after="0" w:line="240" w:lineRule="auto"/>
      </w:pPr>
      <w:r>
        <w:t>Development of job knowledge</w:t>
      </w:r>
    </w:p>
    <w:p w:rsidR="00271E8B" w:rsidRDefault="00271E8B" w:rsidP="002F6DD5">
      <w:pPr>
        <w:spacing w:after="0" w:line="240" w:lineRule="auto"/>
      </w:pPr>
      <w:r>
        <w:t>Opportunities to develop and expand personal networks and contacts</w:t>
      </w:r>
    </w:p>
    <w:p w:rsidR="00166D7C" w:rsidRDefault="00166D7C" w:rsidP="00271E8B">
      <w:pPr>
        <w:spacing w:after="0"/>
      </w:pPr>
    </w:p>
    <w:p w:rsidR="00166D7C" w:rsidRDefault="00166D7C" w:rsidP="00271E8B">
      <w:pPr>
        <w:spacing w:after="0"/>
        <w:rPr>
          <w:b/>
          <w:u w:val="single"/>
        </w:rPr>
      </w:pPr>
      <w:r w:rsidRPr="00271E8B">
        <w:rPr>
          <w:b/>
          <w:u w:val="single"/>
        </w:rPr>
        <w:t>Responsibilities:-</w:t>
      </w:r>
    </w:p>
    <w:p w:rsidR="002F6DD5" w:rsidRPr="008874E6" w:rsidRDefault="002F6DD5" w:rsidP="005A40CD">
      <w:pPr>
        <w:spacing w:after="0" w:line="240" w:lineRule="auto"/>
      </w:pPr>
      <w:r w:rsidRPr="008874E6">
        <w:t xml:space="preserve">To provide evaluation, guidance and </w:t>
      </w:r>
      <w:r>
        <w:t xml:space="preserve">advice on </w:t>
      </w:r>
      <w:r w:rsidR="005A40CD">
        <w:t xml:space="preserve">oral interviews in support of </w:t>
      </w:r>
      <w:r>
        <w:t>applications</w:t>
      </w:r>
    </w:p>
    <w:p w:rsidR="002F6DD5" w:rsidRPr="008874E6" w:rsidRDefault="002F6DD5" w:rsidP="005A40CD">
      <w:pPr>
        <w:spacing w:after="0" w:line="240" w:lineRule="auto"/>
      </w:pPr>
      <w:r w:rsidRPr="008874E6">
        <w:t>To challenge and endorse the work of applicants in order to strengthen the content and quality of applications</w:t>
      </w:r>
    </w:p>
    <w:p w:rsidR="002F6DD5" w:rsidRPr="008874E6" w:rsidRDefault="002F6DD5" w:rsidP="005A40CD">
      <w:pPr>
        <w:spacing w:after="0" w:line="240" w:lineRule="auto"/>
      </w:pPr>
      <w:r w:rsidRPr="008874E6">
        <w:t>To liaise with the Membership Office to improve the process and outcomes for applicants</w:t>
      </w:r>
    </w:p>
    <w:p w:rsidR="002F6DD5" w:rsidRDefault="002F6DD5" w:rsidP="005A40CD">
      <w:pPr>
        <w:spacing w:after="0" w:line="240" w:lineRule="auto"/>
      </w:pPr>
      <w:r w:rsidRPr="008874E6">
        <w:t>To monitor and promote high professional standards as an endorsement of The Institute’s credentials.</w:t>
      </w:r>
    </w:p>
    <w:p w:rsidR="002F6DD5" w:rsidRPr="008874E6" w:rsidRDefault="002F6DD5" w:rsidP="005A40CD">
      <w:pPr>
        <w:spacing w:after="0" w:line="240" w:lineRule="auto"/>
      </w:pPr>
      <w:r>
        <w:t>To champion the recruitment and retention of members</w:t>
      </w:r>
    </w:p>
    <w:p w:rsidR="00166D7C" w:rsidRDefault="00166D7C" w:rsidP="00271E8B">
      <w:pPr>
        <w:spacing w:after="0"/>
      </w:pPr>
    </w:p>
    <w:p w:rsidR="00166D7C" w:rsidRPr="00271E8B" w:rsidRDefault="00166D7C" w:rsidP="00271E8B">
      <w:pPr>
        <w:spacing w:after="0"/>
        <w:rPr>
          <w:b/>
          <w:u w:val="single"/>
        </w:rPr>
      </w:pPr>
      <w:r w:rsidRPr="00271E8B">
        <w:rPr>
          <w:b/>
          <w:u w:val="single"/>
        </w:rPr>
        <w:t>Role requirements:-</w:t>
      </w:r>
    </w:p>
    <w:p w:rsidR="002F6DD5" w:rsidRDefault="002F6DD5" w:rsidP="002F6DD5">
      <w:pPr>
        <w:spacing w:after="0" w:line="240" w:lineRule="auto"/>
      </w:pPr>
      <w:r>
        <w:t xml:space="preserve">Knowledge of </w:t>
      </w:r>
      <w:r w:rsidR="005A40CD">
        <w:t>engineering</w:t>
      </w:r>
      <w:r>
        <w:t>, with special</w:t>
      </w:r>
      <w:r w:rsidR="005A40CD">
        <w:t>ist</w:t>
      </w:r>
      <w:r>
        <w:t xml:space="preserve"> knowledge if possible.</w:t>
      </w:r>
    </w:p>
    <w:p w:rsidR="002F6DD5" w:rsidRDefault="002F6DD5" w:rsidP="002F6DD5">
      <w:pPr>
        <w:spacing w:after="0" w:line="240" w:lineRule="auto"/>
      </w:pPr>
      <w:r>
        <w:t xml:space="preserve">Practical and significant work place experience in </w:t>
      </w:r>
      <w:r w:rsidR="005A40CD">
        <w:t>engineering</w:t>
      </w:r>
    </w:p>
    <w:p w:rsidR="002F6DD5" w:rsidRDefault="002F6DD5" w:rsidP="002F6DD5">
      <w:pPr>
        <w:spacing w:after="0" w:line="240" w:lineRule="auto"/>
      </w:pPr>
      <w:r>
        <w:t>Understanding of the role and functioning of partner organisations e.g. Engineering Council, Skills Development Agencies, STEM</w:t>
      </w:r>
    </w:p>
    <w:p w:rsidR="002F6DD5" w:rsidRDefault="002F6DD5" w:rsidP="002F6DD5">
      <w:pPr>
        <w:spacing w:after="0" w:line="240" w:lineRule="auto"/>
      </w:pPr>
      <w:r>
        <w:t>Understanding of evaluation and auditing techniques in relation to professional development.</w:t>
      </w:r>
    </w:p>
    <w:p w:rsidR="002F6DD5" w:rsidRDefault="002F6DD5" w:rsidP="002F6DD5">
      <w:pPr>
        <w:spacing w:after="0" w:line="240" w:lineRule="auto"/>
      </w:pPr>
      <w:r>
        <w:t xml:space="preserve">Understanding of the work of The </w:t>
      </w:r>
      <w:r w:rsidR="005A40CD">
        <w:t xml:space="preserve">Welding </w:t>
      </w:r>
      <w:r>
        <w:t>Institute and TWI Ltd as different but complimentary organisations</w:t>
      </w:r>
    </w:p>
    <w:p w:rsidR="005A40CD" w:rsidRDefault="005A40CD" w:rsidP="002F6DD5">
      <w:pPr>
        <w:spacing w:after="0" w:line="240" w:lineRule="auto"/>
      </w:pPr>
      <w:r>
        <w:t>Knowledge and understanding of the application process for registrsation</w:t>
      </w:r>
    </w:p>
    <w:p w:rsidR="00166D7C" w:rsidRDefault="00166D7C" w:rsidP="002F6DD5">
      <w:pPr>
        <w:spacing w:after="0" w:line="240" w:lineRule="auto"/>
      </w:pPr>
      <w:r>
        <w:t xml:space="preserve">Membership of The Welding Institute </w:t>
      </w:r>
    </w:p>
    <w:p w:rsidR="00271E8B" w:rsidRDefault="00271E8B" w:rsidP="002F6DD5">
      <w:pPr>
        <w:spacing w:after="0" w:line="240" w:lineRule="auto"/>
      </w:pPr>
    </w:p>
    <w:p w:rsidR="00271E8B" w:rsidRDefault="00271E8B" w:rsidP="002F6DD5">
      <w:pPr>
        <w:spacing w:after="0" w:line="240" w:lineRule="auto"/>
      </w:pPr>
    </w:p>
    <w:p w:rsidR="00271E8B" w:rsidRDefault="00271E8B" w:rsidP="002F6DD5">
      <w:pPr>
        <w:spacing w:after="0" w:line="240" w:lineRule="auto"/>
      </w:pPr>
    </w:p>
    <w:p w:rsidR="00166D7C" w:rsidRDefault="00166D7C" w:rsidP="002F6DD5">
      <w:pPr>
        <w:spacing w:after="0" w:line="240" w:lineRule="auto"/>
      </w:pPr>
    </w:p>
    <w:p w:rsidR="00271E8B" w:rsidRDefault="00271E8B" w:rsidP="002F6DD5">
      <w:pPr>
        <w:spacing w:after="0" w:line="240" w:lineRule="auto"/>
        <w:rPr>
          <w:b/>
          <w:u w:val="single"/>
        </w:rPr>
      </w:pPr>
    </w:p>
    <w:p w:rsidR="00271E8B" w:rsidRDefault="00271E8B" w:rsidP="002F6DD5">
      <w:pPr>
        <w:spacing w:after="0" w:line="240" w:lineRule="auto"/>
        <w:rPr>
          <w:b/>
          <w:u w:val="single"/>
        </w:rPr>
      </w:pPr>
    </w:p>
    <w:p w:rsidR="00166D7C" w:rsidRPr="00271E8B" w:rsidRDefault="00166D7C" w:rsidP="002F6DD5">
      <w:pPr>
        <w:spacing w:after="0" w:line="240" w:lineRule="auto"/>
        <w:rPr>
          <w:b/>
          <w:u w:val="single"/>
        </w:rPr>
      </w:pPr>
      <w:r w:rsidRPr="00271E8B">
        <w:rPr>
          <w:b/>
          <w:u w:val="single"/>
        </w:rPr>
        <w:t>Personal attributes:-</w:t>
      </w:r>
    </w:p>
    <w:p w:rsidR="002F6DD5" w:rsidRDefault="002F6DD5" w:rsidP="002F6DD5">
      <w:pPr>
        <w:spacing w:after="0" w:line="240" w:lineRule="auto"/>
      </w:pPr>
      <w:r>
        <w:t>Experience of coaching, mentoring, training and developing staff</w:t>
      </w:r>
    </w:p>
    <w:p w:rsidR="002F6DD5" w:rsidRDefault="002F6DD5" w:rsidP="002F6DD5">
      <w:pPr>
        <w:spacing w:after="0" w:line="240" w:lineRule="auto"/>
      </w:pPr>
      <w:r>
        <w:t>Experience of conducting professional interviews in the workplace</w:t>
      </w:r>
    </w:p>
    <w:p w:rsidR="00166D7C" w:rsidRDefault="00166D7C" w:rsidP="002F6DD5">
      <w:pPr>
        <w:spacing w:after="0" w:line="240" w:lineRule="auto"/>
      </w:pPr>
      <w:r>
        <w:t xml:space="preserve">Ability to listen and encourage individuals from a broad </w:t>
      </w:r>
      <w:r w:rsidR="002F6DD5">
        <w:t xml:space="preserve">range of </w:t>
      </w:r>
      <w:r>
        <w:t>background</w:t>
      </w:r>
      <w:r w:rsidR="002F6DD5">
        <w:t>s</w:t>
      </w:r>
    </w:p>
    <w:p w:rsidR="00166D7C" w:rsidRDefault="00166D7C" w:rsidP="002F6DD5">
      <w:pPr>
        <w:spacing w:after="0" w:line="240" w:lineRule="auto"/>
      </w:pPr>
      <w:r>
        <w:t>Ability to communicate clearly and effectively through written and spoken media</w:t>
      </w:r>
    </w:p>
    <w:p w:rsidR="00166D7C" w:rsidRDefault="00166D7C" w:rsidP="002F6DD5">
      <w:pPr>
        <w:spacing w:after="0" w:line="240" w:lineRule="auto"/>
      </w:pPr>
      <w:r>
        <w:t xml:space="preserve">Ability to objectively and impartially represent The Institute’s aims and objectives </w:t>
      </w:r>
    </w:p>
    <w:p w:rsidR="00166D7C" w:rsidRDefault="00166D7C" w:rsidP="002F6DD5">
      <w:pPr>
        <w:spacing w:after="0" w:line="240" w:lineRule="auto"/>
      </w:pPr>
      <w:r>
        <w:t>Ability to use and to have access to Skype and electronic document management technology.</w:t>
      </w:r>
    </w:p>
    <w:p w:rsidR="00166D7C" w:rsidRDefault="00166D7C" w:rsidP="002F6DD5">
      <w:pPr>
        <w:spacing w:after="0" w:line="240" w:lineRule="auto"/>
      </w:pPr>
      <w:r>
        <w:t>Ability to demonstrate empathy, diplomacy, professional and ethical conduct</w:t>
      </w:r>
      <w:bookmarkStart w:id="0" w:name="_GoBack"/>
      <w:bookmarkEnd w:id="0"/>
    </w:p>
    <w:p w:rsidR="002F6DD5" w:rsidRDefault="005A40CD" w:rsidP="002F6DD5">
      <w:pPr>
        <w:spacing w:after="0" w:line="240" w:lineRule="auto"/>
      </w:pPr>
      <w:r>
        <w:t>Understanding of the work of the Welding Institute’s c</w:t>
      </w:r>
      <w:r w:rsidR="002F6DD5">
        <w:t xml:space="preserve">ommittees and </w:t>
      </w:r>
      <w:r>
        <w:t>p</w:t>
      </w:r>
      <w:r w:rsidR="002F6DD5">
        <w:t>anels</w:t>
      </w:r>
    </w:p>
    <w:p w:rsidR="00166D7C" w:rsidRDefault="00166D7C" w:rsidP="002F6DD5">
      <w:pPr>
        <w:spacing w:after="0" w:line="240" w:lineRule="auto"/>
      </w:pPr>
    </w:p>
    <w:p w:rsidR="00166D7C" w:rsidRPr="00271E8B" w:rsidRDefault="00166D7C" w:rsidP="002F6DD5">
      <w:pPr>
        <w:spacing w:after="0" w:line="240" w:lineRule="auto"/>
        <w:rPr>
          <w:b/>
          <w:u w:val="single"/>
        </w:rPr>
      </w:pPr>
      <w:r w:rsidRPr="00271E8B">
        <w:rPr>
          <w:b/>
          <w:u w:val="single"/>
        </w:rPr>
        <w:t>Practicalities:-</w:t>
      </w:r>
    </w:p>
    <w:p w:rsidR="00166D7C" w:rsidRPr="00173C5F" w:rsidRDefault="00166D7C" w:rsidP="002F6DD5">
      <w:pPr>
        <w:pStyle w:val="BodyText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Term of </w:t>
      </w:r>
      <w:r w:rsidRPr="00173C5F">
        <w:rPr>
          <w:rFonts w:ascii="Calibri" w:hAnsi="Calibri" w:cs="Arial"/>
          <w:sz w:val="22"/>
          <w:szCs w:val="22"/>
        </w:rPr>
        <w:t>Office</w:t>
      </w:r>
      <w:r>
        <w:rPr>
          <w:rFonts w:ascii="Calibri" w:hAnsi="Calibri" w:cs="Arial"/>
          <w:sz w:val="22"/>
          <w:szCs w:val="22"/>
        </w:rPr>
        <w:t xml:space="preserve"> for this position is </w:t>
      </w:r>
      <w:r w:rsidR="002F6DD5">
        <w:rPr>
          <w:rFonts w:ascii="Calibri" w:hAnsi="Calibri" w:cs="Arial"/>
          <w:sz w:val="22"/>
          <w:szCs w:val="22"/>
        </w:rPr>
        <w:t>2 years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166D7C" w:rsidRDefault="00166D7C" w:rsidP="002F6DD5">
      <w:pPr>
        <w:pStyle w:val="BodyText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Volunteers will be r</w:t>
      </w:r>
      <w:r w:rsidRPr="00173C5F">
        <w:rPr>
          <w:rFonts w:ascii="Calibri" w:hAnsi="Calibri" w:cs="Arial"/>
          <w:sz w:val="22"/>
          <w:szCs w:val="22"/>
        </w:rPr>
        <w:t>eimburse</w:t>
      </w:r>
      <w:r>
        <w:rPr>
          <w:rFonts w:ascii="Calibri" w:hAnsi="Calibri" w:cs="Arial"/>
          <w:sz w:val="22"/>
          <w:szCs w:val="22"/>
        </w:rPr>
        <w:t xml:space="preserve">d for reasonable out of pocket </w:t>
      </w:r>
      <w:r w:rsidR="002F6DD5">
        <w:rPr>
          <w:rFonts w:ascii="Calibri" w:hAnsi="Calibri" w:cs="Arial"/>
          <w:sz w:val="22"/>
          <w:szCs w:val="22"/>
        </w:rPr>
        <w:t>expenses -</w:t>
      </w:r>
      <w:r>
        <w:rPr>
          <w:rFonts w:ascii="Calibri" w:hAnsi="Calibri" w:cs="Arial"/>
          <w:sz w:val="22"/>
          <w:szCs w:val="22"/>
        </w:rPr>
        <w:t xml:space="preserve"> See the Volunteers Guidance leaflet, ‘Get involved!’</w:t>
      </w:r>
    </w:p>
    <w:p w:rsidR="00166D7C" w:rsidRPr="00173C5F" w:rsidRDefault="00166D7C" w:rsidP="002F6DD5">
      <w:pPr>
        <w:pStyle w:val="BodyText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volunteers are expected to act in accordance with the Institutes Code of Conduct.</w:t>
      </w:r>
    </w:p>
    <w:p w:rsidR="00166D7C" w:rsidRDefault="00166D7C" w:rsidP="002F6DD5">
      <w:pPr>
        <w:spacing w:after="0" w:line="240" w:lineRule="auto"/>
      </w:pPr>
    </w:p>
    <w:p w:rsidR="00166D7C" w:rsidRPr="00271E8B" w:rsidRDefault="00166D7C" w:rsidP="002F6DD5">
      <w:pPr>
        <w:spacing w:after="0" w:line="240" w:lineRule="auto"/>
        <w:jc w:val="both"/>
        <w:rPr>
          <w:b/>
          <w:u w:val="single"/>
        </w:rPr>
      </w:pPr>
      <w:r w:rsidRPr="00271E8B">
        <w:rPr>
          <w:b/>
          <w:u w:val="single"/>
        </w:rPr>
        <w:t>Appointment Process</w:t>
      </w:r>
    </w:p>
    <w:p w:rsidR="00166D7C" w:rsidRPr="000D4CD3" w:rsidRDefault="00166D7C" w:rsidP="002F6DD5">
      <w:pPr>
        <w:spacing w:after="0" w:line="240" w:lineRule="auto"/>
        <w:jc w:val="both"/>
      </w:pPr>
      <w:r w:rsidRPr="006F6E73">
        <w:t xml:space="preserve">To become a PRI Volunteer, applicants need to be a Member of the Institute and </w:t>
      </w:r>
      <w:r w:rsidR="005A40CD">
        <w:t xml:space="preserve">preferably </w:t>
      </w:r>
      <w:r w:rsidRPr="006F6E73">
        <w:t xml:space="preserve">hold professional Membership to a minimum of </w:t>
      </w:r>
      <w:r w:rsidR="005A40CD">
        <w:t xml:space="preserve">EngTech </w:t>
      </w:r>
      <w:r w:rsidRPr="006F6E73">
        <w:t xml:space="preserve">Volunteers will be asked to undertake a short training programme involving a 2 hour formal training session followed by some private study and job shadowing. On satisfactory completion of the training programme, volunteers are appointed for 2 years. Appointment can be extended on successful completion of refresher </w:t>
      </w:r>
      <w:r w:rsidRPr="000D4CD3">
        <w:t>training and assessment.</w:t>
      </w:r>
    </w:p>
    <w:p w:rsidR="000D4CD3" w:rsidRPr="000D4CD3" w:rsidRDefault="000D4CD3" w:rsidP="000D4CD3">
      <w:pPr>
        <w:rPr>
          <w:rFonts w:cstheme="minorHAnsi"/>
        </w:rPr>
      </w:pPr>
      <w:r w:rsidRPr="000D4CD3">
        <w:rPr>
          <w:rFonts w:cstheme="minorHAnsi"/>
          <w:color w:val="000000" w:themeColor="text1"/>
        </w:rPr>
        <w:t>To apply, please complete an expression of interest form illustrating how you meet the role criteria and along with your CV, send this to theweldinginstitue@twi.co.uk. Forms will be reviewed by our Nominations Panel.</w:t>
      </w:r>
    </w:p>
    <w:p w:rsidR="00A50E47" w:rsidRDefault="000D4CD3" w:rsidP="000D4CD3">
      <w:pPr>
        <w:spacing w:after="0" w:line="240" w:lineRule="auto"/>
        <w:jc w:val="both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6507FD0E" wp14:editId="7E83F639">
            <wp:extent cx="3098165" cy="742315"/>
            <wp:effectExtent l="0" t="0" r="698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0E47" w:rsidSect="00A97BBA">
      <w:headerReference w:type="default" r:id="rId9"/>
      <w:footerReference w:type="default" r:id="rId10"/>
      <w:pgSz w:w="11906" w:h="16838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16" w:rsidRDefault="00C41516" w:rsidP="00A97BBA">
      <w:pPr>
        <w:spacing w:after="0" w:line="240" w:lineRule="auto"/>
      </w:pPr>
      <w:r>
        <w:separator/>
      </w:r>
    </w:p>
  </w:endnote>
  <w:end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14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3460" w:rsidRDefault="00271E8B" w:rsidP="00C63460">
            <w:pPr>
              <w:pStyle w:val="Footer"/>
            </w:pPr>
            <w:r>
              <w:t>PRI Interviewer  Role Specification (March 2018) Page 1 of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16" w:rsidRDefault="00C41516" w:rsidP="00A97BBA">
      <w:pPr>
        <w:spacing w:after="0" w:line="240" w:lineRule="auto"/>
      </w:pPr>
      <w:r>
        <w:separator/>
      </w:r>
    </w:p>
  </w:footnote>
  <w:foot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25" w:rsidRPr="00A97BBA" w:rsidRDefault="007D3E25" w:rsidP="00A97BBA">
    <w:pPr>
      <w:rPr>
        <w:b/>
        <w:color w:val="006C5B"/>
        <w:sz w:val="36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7216" behindDoc="0" locked="0" layoutInCell="1" allowOverlap="1" wp14:anchorId="5543BF9D" wp14:editId="231AD050">
          <wp:simplePos x="0" y="0"/>
          <wp:positionH relativeFrom="column">
            <wp:posOffset>5203981</wp:posOffset>
          </wp:positionH>
          <wp:positionV relativeFrom="paragraph">
            <wp:posOffset>59690</wp:posOffset>
          </wp:positionV>
          <wp:extent cx="1758950" cy="8388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eboo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E8B">
      <w:rPr>
        <w:b/>
        <w:color w:val="006C5B"/>
        <w:sz w:val="36"/>
      </w:rPr>
      <w:t>Professional Review Interviewer R</w:t>
    </w:r>
    <w:r w:rsidR="00A97BBA" w:rsidRPr="00A97BBA">
      <w:rPr>
        <w:b/>
        <w:color w:val="006C5B"/>
        <w:sz w:val="36"/>
      </w:rPr>
      <w:t>ole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C73"/>
    <w:multiLevelType w:val="hybridMultilevel"/>
    <w:tmpl w:val="A3B0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128"/>
    <w:multiLevelType w:val="hybridMultilevel"/>
    <w:tmpl w:val="32E4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26B"/>
    <w:multiLevelType w:val="hybridMultilevel"/>
    <w:tmpl w:val="D458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5C13"/>
    <w:multiLevelType w:val="hybridMultilevel"/>
    <w:tmpl w:val="03BA5A02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3ED"/>
    <w:multiLevelType w:val="hybridMultilevel"/>
    <w:tmpl w:val="AAC6DF64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5443B"/>
    <w:multiLevelType w:val="hybridMultilevel"/>
    <w:tmpl w:val="6EFC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7F2B"/>
    <w:multiLevelType w:val="hybridMultilevel"/>
    <w:tmpl w:val="D606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694A"/>
    <w:multiLevelType w:val="hybridMultilevel"/>
    <w:tmpl w:val="E018873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01BC"/>
    <w:multiLevelType w:val="hybridMultilevel"/>
    <w:tmpl w:val="4CBC3264"/>
    <w:lvl w:ilvl="0" w:tplc="6DF8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8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A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0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E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2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E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2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815B4C"/>
    <w:multiLevelType w:val="hybridMultilevel"/>
    <w:tmpl w:val="9182A05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2"/>
    <w:rsid w:val="0002507F"/>
    <w:rsid w:val="000B62CB"/>
    <w:rsid w:val="000D4CD3"/>
    <w:rsid w:val="000F7768"/>
    <w:rsid w:val="00166D7C"/>
    <w:rsid w:val="001949F4"/>
    <w:rsid w:val="001B0597"/>
    <w:rsid w:val="001C1C2F"/>
    <w:rsid w:val="001E14E2"/>
    <w:rsid w:val="00226D30"/>
    <w:rsid w:val="00271E8B"/>
    <w:rsid w:val="002864EF"/>
    <w:rsid w:val="002C3E61"/>
    <w:rsid w:val="002F6DD5"/>
    <w:rsid w:val="003764EE"/>
    <w:rsid w:val="003E5E48"/>
    <w:rsid w:val="00456951"/>
    <w:rsid w:val="00505F38"/>
    <w:rsid w:val="00530887"/>
    <w:rsid w:val="005A40CD"/>
    <w:rsid w:val="005A78F4"/>
    <w:rsid w:val="005E0432"/>
    <w:rsid w:val="006E3BA5"/>
    <w:rsid w:val="006F3DF5"/>
    <w:rsid w:val="007525EE"/>
    <w:rsid w:val="00777CF9"/>
    <w:rsid w:val="007B7AAD"/>
    <w:rsid w:val="007D3E25"/>
    <w:rsid w:val="0080108B"/>
    <w:rsid w:val="00872986"/>
    <w:rsid w:val="0089763C"/>
    <w:rsid w:val="008D0A48"/>
    <w:rsid w:val="008F5189"/>
    <w:rsid w:val="00907C84"/>
    <w:rsid w:val="009A020D"/>
    <w:rsid w:val="00A45AB5"/>
    <w:rsid w:val="00A50E47"/>
    <w:rsid w:val="00A708D1"/>
    <w:rsid w:val="00A807FA"/>
    <w:rsid w:val="00A95602"/>
    <w:rsid w:val="00A97BBA"/>
    <w:rsid w:val="00AA55B8"/>
    <w:rsid w:val="00B54FBE"/>
    <w:rsid w:val="00B55666"/>
    <w:rsid w:val="00B90492"/>
    <w:rsid w:val="00C41516"/>
    <w:rsid w:val="00C63460"/>
    <w:rsid w:val="00D319C7"/>
    <w:rsid w:val="00DA4881"/>
    <w:rsid w:val="00E726A2"/>
    <w:rsid w:val="00E755B5"/>
    <w:rsid w:val="00E75DF9"/>
    <w:rsid w:val="00ED1EC7"/>
    <w:rsid w:val="00ED542C"/>
    <w:rsid w:val="00EE06AA"/>
    <w:rsid w:val="00F230AD"/>
    <w:rsid w:val="00F35C77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88049E"/>
  <w15:chartTrackingRefBased/>
  <w15:docId w15:val="{5B504DA1-26CE-4ED2-A213-D4B2B50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BA"/>
  </w:style>
  <w:style w:type="paragraph" w:styleId="Footer">
    <w:name w:val="footer"/>
    <w:basedOn w:val="Normal"/>
    <w:link w:val="FooterChar"/>
    <w:uiPriority w:val="99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BA"/>
  </w:style>
  <w:style w:type="paragraph" w:styleId="ListParagraph">
    <w:name w:val="List Paragraph"/>
    <w:basedOn w:val="Normal"/>
    <w:uiPriority w:val="34"/>
    <w:qFormat/>
    <w:rsid w:val="002C3E61"/>
    <w:pPr>
      <w:ind w:left="720"/>
      <w:contextualSpacing/>
    </w:pPr>
  </w:style>
  <w:style w:type="paragraph" w:styleId="BodyText2">
    <w:name w:val="Body Text 2"/>
    <w:basedOn w:val="Normal"/>
    <w:link w:val="BodyText2Char"/>
    <w:rsid w:val="00166D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66D7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4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CD3"/>
    <w:pPr>
      <w:spacing w:after="16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CD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9DF7-BFA7-4A63-85DE-AC0443EF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Bates</dc:creator>
  <cp:keywords/>
  <dc:description/>
  <cp:lastModifiedBy>Alice Gillett</cp:lastModifiedBy>
  <cp:revision>5</cp:revision>
  <cp:lastPrinted>2018-01-19T08:34:00Z</cp:lastPrinted>
  <dcterms:created xsi:type="dcterms:W3CDTF">2018-05-23T13:53:00Z</dcterms:created>
  <dcterms:modified xsi:type="dcterms:W3CDTF">2023-05-25T14:24:00Z</dcterms:modified>
</cp:coreProperties>
</file>